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8B24" w14:textId="69539C8C" w:rsidR="000A3B73" w:rsidRPr="009A6B57" w:rsidRDefault="001E6744" w:rsidP="009A6B57">
      <w:pPr>
        <w:pStyle w:val="DecHTitle"/>
      </w:pPr>
      <w:bookmarkStart w:id="0" w:name="_GoBack"/>
      <w:bookmarkEnd w:id="0"/>
      <w:r w:rsidRPr="009A6B57">
        <w:t>PREMIÈRE SECTION</w:t>
      </w:r>
    </w:p>
    <w:p w14:paraId="31B0AA83" w14:textId="77777777" w:rsidR="000A3B73" w:rsidRPr="009A6B57" w:rsidRDefault="009C2679" w:rsidP="009A6B57">
      <w:pPr>
        <w:pStyle w:val="DecHTitle"/>
        <w:rPr>
          <w:caps/>
          <w:sz w:val="32"/>
        </w:rPr>
      </w:pPr>
      <w:r w:rsidRPr="009A6B57">
        <w:t>DÉCISION</w:t>
      </w:r>
    </w:p>
    <w:p w14:paraId="0DE807B5" w14:textId="35BD811C" w:rsidR="000A3B73" w:rsidRPr="009A6B57" w:rsidRDefault="009C2679" w:rsidP="009A6B57">
      <w:pPr>
        <w:pStyle w:val="DecHCase"/>
        <w:rPr>
          <w:lang w:eastAsia="en-GB"/>
        </w:rPr>
      </w:pPr>
      <w:r w:rsidRPr="009A6B57">
        <w:t>Requête n</w:t>
      </w:r>
      <w:r w:rsidRPr="009A6B57">
        <w:rPr>
          <w:vertAlign w:val="superscript"/>
        </w:rPr>
        <w:t>o</w:t>
      </w:r>
      <w:r w:rsidRPr="009A6B57">
        <w:t xml:space="preserve"> </w:t>
      </w:r>
      <w:r w:rsidR="001E6744" w:rsidRPr="009A6B57">
        <w:t>1072/19</w:t>
      </w:r>
      <w:r w:rsidRPr="009A6B57">
        <w:br/>
      </w:r>
      <w:r w:rsidR="001E6744" w:rsidRPr="009A6B57">
        <w:t>Iva Antonia MICCOLI</w:t>
      </w:r>
      <w:r w:rsidR="00BD3CA9" w:rsidRPr="009A6B57">
        <w:br/>
      </w:r>
      <w:r w:rsidRPr="009A6B57">
        <w:t xml:space="preserve">contre </w:t>
      </w:r>
      <w:r w:rsidR="001E6744" w:rsidRPr="009A6B57">
        <w:t>l</w:t>
      </w:r>
      <w:r w:rsidR="009A6B57" w:rsidRPr="009A6B57">
        <w:t>’</w:t>
      </w:r>
      <w:r w:rsidR="001E6744" w:rsidRPr="009A6B57">
        <w:t>Italie</w:t>
      </w:r>
      <w:r w:rsidRPr="009A6B57">
        <w:br/>
      </w:r>
    </w:p>
    <w:p w14:paraId="197C64AD" w14:textId="4D481537" w:rsidR="001E6744" w:rsidRPr="009A6B57" w:rsidRDefault="001E6744" w:rsidP="009A6B57">
      <w:pPr>
        <w:pStyle w:val="JuPara"/>
      </w:pPr>
      <w:r w:rsidRPr="009A6B57">
        <w:t>La Cour européenne des droits de l</w:t>
      </w:r>
      <w:r w:rsidR="009A6B57" w:rsidRPr="009A6B57">
        <w:t>’</w:t>
      </w:r>
      <w:r w:rsidRPr="009A6B57">
        <w:t xml:space="preserve">homme (première section), siégeant le </w:t>
      </w:r>
      <w:r w:rsidR="00A1245F" w:rsidRPr="009A6B57">
        <w:t>30 juin 2022</w:t>
      </w:r>
      <w:r w:rsidRPr="009A6B57">
        <w:t xml:space="preserve"> en un comité composé de :</w:t>
      </w:r>
    </w:p>
    <w:p w14:paraId="542F03FC" w14:textId="55E894D7" w:rsidR="001E6744" w:rsidRPr="009A6B57" w:rsidRDefault="00A1245F" w:rsidP="009A6B57">
      <w:pPr>
        <w:pStyle w:val="JuJudges"/>
      </w:pPr>
      <w:r w:rsidRPr="009A6B57">
        <w:tab/>
        <w:t xml:space="preserve">Alena </w:t>
      </w:r>
      <w:proofErr w:type="spellStart"/>
      <w:r w:rsidRPr="009A6B57">
        <w:t>Poláčková</w:t>
      </w:r>
      <w:proofErr w:type="spellEnd"/>
      <w:r w:rsidRPr="009A6B57">
        <w:t>,</w:t>
      </w:r>
      <w:r w:rsidRPr="009A6B57">
        <w:rPr>
          <w:i/>
        </w:rPr>
        <w:t xml:space="preserve"> présidente,</w:t>
      </w:r>
      <w:r w:rsidRPr="009A6B57">
        <w:rPr>
          <w:i/>
        </w:rPr>
        <w:br/>
      </w:r>
      <w:r w:rsidRPr="009A6B57">
        <w:tab/>
        <w:t>Raffaele Sabato,</w:t>
      </w:r>
      <w:r w:rsidRPr="009A6B57">
        <w:rPr>
          <w:i/>
        </w:rPr>
        <w:br/>
      </w:r>
      <w:r w:rsidRPr="009A6B57">
        <w:tab/>
        <w:t xml:space="preserve">Davor </w:t>
      </w:r>
      <w:proofErr w:type="spellStart"/>
      <w:r w:rsidRPr="009A6B57">
        <w:t>Derenčinović</w:t>
      </w:r>
      <w:proofErr w:type="spellEnd"/>
      <w:r w:rsidRPr="009A6B57">
        <w:t>,</w:t>
      </w:r>
      <w:r w:rsidRPr="009A6B57">
        <w:rPr>
          <w:i/>
        </w:rPr>
        <w:t xml:space="preserve"> juges,</w:t>
      </w:r>
    </w:p>
    <w:p w14:paraId="2AB8AACC" w14:textId="77777777" w:rsidR="001E6744" w:rsidRPr="009A6B57" w:rsidRDefault="001E6744" w:rsidP="009A6B57">
      <w:pPr>
        <w:pStyle w:val="JuJudges"/>
      </w:pPr>
      <w:r w:rsidRPr="009A6B57">
        <w:t xml:space="preserve">et de Viktoriya Maradudina, </w:t>
      </w:r>
      <w:r w:rsidRPr="009A6B57">
        <w:rPr>
          <w:rFonts w:eastAsia="PMingLiU"/>
          <w:i/>
        </w:rPr>
        <w:t xml:space="preserve">greffière adjointe de section </w:t>
      </w:r>
      <w:proofErr w:type="spellStart"/>
      <w:r w:rsidRPr="009A6B57">
        <w:rPr>
          <w:rFonts w:eastAsia="PMingLiU"/>
          <w:i/>
        </w:rPr>
        <w:t>f.f</w:t>
      </w:r>
      <w:proofErr w:type="spellEnd"/>
      <w:r w:rsidRPr="009A6B57">
        <w:rPr>
          <w:rFonts w:eastAsia="PMingLiU"/>
          <w:i/>
        </w:rPr>
        <w:t>.</w:t>
      </w:r>
      <w:r w:rsidRPr="009A6B57">
        <w:t>,</w:t>
      </w:r>
    </w:p>
    <w:p w14:paraId="097D1C32" w14:textId="77777777" w:rsidR="001E6744" w:rsidRPr="009A6B57" w:rsidRDefault="001E6744" w:rsidP="009A6B57">
      <w:pPr>
        <w:pStyle w:val="JuJudges"/>
        <w:ind w:firstLine="284"/>
        <w:jc w:val="both"/>
      </w:pPr>
      <w:r w:rsidRPr="009A6B57">
        <w:t>Vu la requête susmentionnée introduite le 14 décembre 2018,</w:t>
      </w:r>
    </w:p>
    <w:p w14:paraId="1FAF539A" w14:textId="77777777" w:rsidR="001E6744" w:rsidRPr="009A6B57" w:rsidRDefault="001E6744" w:rsidP="009A6B57">
      <w:pPr>
        <w:pStyle w:val="JuPara"/>
      </w:pPr>
      <w:r w:rsidRPr="009A6B57">
        <w:t>Après en avoir délibéré, rend la décision suivante :</w:t>
      </w:r>
    </w:p>
    <w:p w14:paraId="2426FF95" w14:textId="77777777" w:rsidR="001E6744" w:rsidRPr="009A6B57" w:rsidRDefault="001E6744" w:rsidP="009A6B57">
      <w:pPr>
        <w:pStyle w:val="JuHHead"/>
        <w:rPr>
          <w:rFonts w:eastAsia="PMingLiU"/>
        </w:rPr>
      </w:pPr>
      <w:r w:rsidRPr="009A6B57">
        <w:rPr>
          <w:rFonts w:eastAsia="PMingLiU"/>
        </w:rPr>
        <w:t>FAITS ET P</w:t>
      </w:r>
      <w:r w:rsidRPr="009A6B57">
        <w:t>ROCÉDURE</w:t>
      </w:r>
    </w:p>
    <w:p w14:paraId="0727B94B" w14:textId="77777777" w:rsidR="001E6744" w:rsidRPr="009A6B57" w:rsidRDefault="001E6744" w:rsidP="009A6B57">
      <w:pPr>
        <w:pStyle w:val="JuPara"/>
      </w:pPr>
      <w:r w:rsidRPr="009A6B57">
        <w:t>La requérante, M</w:t>
      </w:r>
      <w:r w:rsidRPr="009A6B57">
        <w:rPr>
          <w:vertAlign w:val="superscript"/>
        </w:rPr>
        <w:t>me</w:t>
      </w:r>
      <w:r w:rsidRPr="009A6B57">
        <w:t xml:space="preserve"> Iva Antonia </w:t>
      </w:r>
      <w:proofErr w:type="spellStart"/>
      <w:r w:rsidRPr="009A6B57">
        <w:t>Miccoli</w:t>
      </w:r>
      <w:proofErr w:type="spellEnd"/>
      <w:r w:rsidRPr="009A6B57">
        <w:t>, est née en 1935 et elle est décédée en 2020. Ses héritiers, MM. Angelo Achille Leo, Giovanni Leo et Riccardo Leo, se sont constitués dans la procédure devant la Cour.</w:t>
      </w:r>
    </w:p>
    <w:p w14:paraId="19FC34A3" w14:textId="77777777" w:rsidR="001E6744" w:rsidRPr="009A6B57" w:rsidRDefault="001E6744" w:rsidP="009A6B57">
      <w:pPr>
        <w:pStyle w:val="JuPara"/>
      </w:pPr>
      <w:r w:rsidRPr="009A6B57">
        <w:t>Ils ont été représentés devant la Cour par M</w:t>
      </w:r>
      <w:r w:rsidRPr="009A6B57">
        <w:rPr>
          <w:vertAlign w:val="superscript"/>
        </w:rPr>
        <w:t>e</w:t>
      </w:r>
      <w:r w:rsidRPr="009A6B57">
        <w:t xml:space="preserve"> M. </w:t>
      </w:r>
      <w:proofErr w:type="spellStart"/>
      <w:r w:rsidRPr="009A6B57">
        <w:t>Miccoli</w:t>
      </w:r>
      <w:proofErr w:type="spellEnd"/>
      <w:r w:rsidRPr="009A6B57">
        <w:t>, avocat exerçant à Tarente.</w:t>
      </w:r>
    </w:p>
    <w:p w14:paraId="7B7C0224" w14:textId="29A48368" w:rsidR="001E6744" w:rsidRPr="009A6B57" w:rsidRDefault="001E6744" w:rsidP="009A6B57">
      <w:pPr>
        <w:pStyle w:val="JuPara"/>
      </w:pPr>
      <w:r w:rsidRPr="009A6B57">
        <w:t>Les griefs que la requérante tirait de l</w:t>
      </w:r>
      <w:r w:rsidR="009A6B57" w:rsidRPr="009A6B57">
        <w:t>’</w:t>
      </w:r>
      <w:r w:rsidRPr="009A6B57">
        <w:t>article </w:t>
      </w:r>
      <w:r w:rsidRPr="009A6B57">
        <w:rPr>
          <w:rFonts w:eastAsia="PMingLiU"/>
        </w:rPr>
        <w:t>6</w:t>
      </w:r>
      <w:r w:rsidRPr="009A6B57">
        <w:t xml:space="preserve"> de la Convention (non</w:t>
      </w:r>
      <w:r w:rsidR="00732408" w:rsidRPr="009A6B57">
        <w:noBreakHyphen/>
      </w:r>
      <w:r w:rsidRPr="009A6B57">
        <w:t>exécution d</w:t>
      </w:r>
      <w:r w:rsidR="009A6B57" w:rsidRPr="009A6B57">
        <w:t>’</w:t>
      </w:r>
      <w:r w:rsidRPr="009A6B57">
        <w:t>un jugement définitif</w:t>
      </w:r>
      <w:r w:rsidRPr="009A6B57">
        <w:rPr>
          <w:rFonts w:ascii="Times New Roman" w:eastAsia="PMingLiU" w:hAnsi="Times New Roman" w:cs="Times New Roman"/>
        </w:rPr>
        <w:t xml:space="preserve">) </w:t>
      </w:r>
      <w:r w:rsidRPr="009A6B57">
        <w:t>ont été communiqués au gouvernement italien (« le Gouvernement »). Le Gouvernement n</w:t>
      </w:r>
      <w:r w:rsidR="009A6B57" w:rsidRPr="009A6B57">
        <w:t>’</w:t>
      </w:r>
      <w:r w:rsidRPr="009A6B57">
        <w:t>ayant pas soumis ses observations sur la recevabilité et le bien-fondé de la requête dans le délai imparti, le Greffe de la Cour a envoyé une lettre à la partie requérante l</w:t>
      </w:r>
      <w:r w:rsidR="009A6B57" w:rsidRPr="009A6B57">
        <w:t>’</w:t>
      </w:r>
      <w:r w:rsidRPr="009A6B57">
        <w:t>invitant à soumettre ses observations sur la recevabilité et le bien-fondé de la requête ainsi que ses demandes au titre de la satisfaction équitable. La lettre du Greffe est demeurée sans réponse.</w:t>
      </w:r>
    </w:p>
    <w:p w14:paraId="5F6B105E" w14:textId="5EBF3D6B" w:rsidR="001E6744" w:rsidRPr="009A6B57" w:rsidRDefault="001E6744" w:rsidP="009A6B57">
      <w:pPr>
        <w:pStyle w:val="JuPara"/>
      </w:pPr>
      <w:r w:rsidRPr="009A6B57">
        <w:t>Par une lettre du 26 avril 2022 adressée à l</w:t>
      </w:r>
      <w:r w:rsidR="009A6B57" w:rsidRPr="009A6B57">
        <w:t>’</w:t>
      </w:r>
      <w:r w:rsidRPr="009A6B57">
        <w:t>avocat de la partie requérante via le système de communication électronique de la Cour (« </w:t>
      </w:r>
      <w:proofErr w:type="spellStart"/>
      <w:r w:rsidRPr="009A6B57">
        <w:t>eComms</w:t>
      </w:r>
      <w:proofErr w:type="spellEnd"/>
      <w:r w:rsidRPr="009A6B57">
        <w:t> »), la Cour a attiré l</w:t>
      </w:r>
      <w:r w:rsidR="009A6B57" w:rsidRPr="009A6B57">
        <w:t>’</w:t>
      </w:r>
      <w:r w:rsidRPr="009A6B57">
        <w:t>attention de la partie requérante sur le fait que le délai imparti pour la présentation de ses observations était échu depuis le 7 avril 2022 et qu</w:t>
      </w:r>
      <w:r w:rsidR="009A6B57" w:rsidRPr="009A6B57">
        <w:t>’</w:t>
      </w:r>
      <w:r w:rsidRPr="009A6B57">
        <w:t>elle n</w:t>
      </w:r>
      <w:r w:rsidR="009A6B57" w:rsidRPr="009A6B57">
        <w:t>’</w:t>
      </w:r>
      <w:r w:rsidRPr="009A6B57">
        <w:t xml:space="preserve">en avait pas sollicité la prolongation. La Cour a en outre précisé </w:t>
      </w:r>
      <w:r w:rsidRPr="009A6B57">
        <w:lastRenderedPageBreak/>
        <w:t>que, aux termes de l</w:t>
      </w:r>
      <w:r w:rsidR="009A6B57" w:rsidRPr="009A6B57">
        <w:t>’</w:t>
      </w:r>
      <w:r w:rsidRPr="009A6B57">
        <w:t>article 37 § 1 a) de la Convention, elle peut rayer une requête du rôle lorsque, comme en l</w:t>
      </w:r>
      <w:r w:rsidR="009A6B57" w:rsidRPr="009A6B57">
        <w:t>’</w:t>
      </w:r>
      <w:r w:rsidRPr="009A6B57">
        <w:t>espèce, les circonstances permettent de conclure que la partie requérante n</w:t>
      </w:r>
      <w:r w:rsidR="009A6B57" w:rsidRPr="009A6B57">
        <w:t>’</w:t>
      </w:r>
      <w:r w:rsidRPr="009A6B57">
        <w:t>entend plus maintenir celle-ci. La lettre est bien parvenue à la partie requérante et a été téléchargée à trois reprises entre le 26 avril et le 12 mai 2022. Elle est toutefois demeurée sans réponse.</w:t>
      </w:r>
    </w:p>
    <w:p w14:paraId="295FD891" w14:textId="77777777" w:rsidR="001E6744" w:rsidRPr="009A6B57" w:rsidRDefault="001E6744" w:rsidP="009A6B57">
      <w:pPr>
        <w:pStyle w:val="JuHHead"/>
        <w:rPr>
          <w:rFonts w:eastAsia="PMingLiU"/>
        </w:rPr>
      </w:pPr>
      <w:r w:rsidRPr="009A6B57">
        <w:rPr>
          <w:rFonts w:eastAsia="PMingLiU"/>
        </w:rPr>
        <w:t>EN DROIT</w:t>
      </w:r>
    </w:p>
    <w:p w14:paraId="5D03F429" w14:textId="20A0C66A" w:rsidR="001E6744" w:rsidRPr="009A6B57" w:rsidRDefault="001E6744" w:rsidP="009A6B57">
      <w:pPr>
        <w:pStyle w:val="JuPara"/>
        <w:rPr>
          <w:rFonts w:ascii="Times New Roman" w:eastAsia="PMingLiU" w:hAnsi="Times New Roman" w:cs="Times New Roman"/>
        </w:rPr>
      </w:pPr>
      <w:r w:rsidRPr="009A6B57">
        <w:t>À la lumière de ce qui précède, la Cour conclut que la partie requérante n</w:t>
      </w:r>
      <w:r w:rsidR="009A6B57" w:rsidRPr="009A6B57">
        <w:t>’</w:t>
      </w:r>
      <w:r w:rsidRPr="009A6B57">
        <w:t>entend plus maintenir la requête (article 37 § 1 a) de la Convention). Par ailleurs, en l</w:t>
      </w:r>
      <w:r w:rsidR="009A6B57" w:rsidRPr="009A6B57">
        <w:t>’</w:t>
      </w:r>
      <w:r w:rsidRPr="009A6B57">
        <w:t>absence de circonstances particulières touchant au respect des droits garantis par la Convention et ses Protocoles, la Cour considère qu</w:t>
      </w:r>
      <w:r w:rsidR="009A6B57" w:rsidRPr="009A6B57">
        <w:t>’</w:t>
      </w:r>
      <w:r w:rsidRPr="009A6B57">
        <w:t>il ne se justifie plus de poursuivre l</w:t>
      </w:r>
      <w:r w:rsidR="009A6B57" w:rsidRPr="009A6B57">
        <w:t>’</w:t>
      </w:r>
      <w:r w:rsidRPr="009A6B57">
        <w:t>examen de la requête, au sens de l</w:t>
      </w:r>
      <w:r w:rsidR="009A6B57" w:rsidRPr="009A6B57">
        <w:t>’</w:t>
      </w:r>
      <w:r w:rsidRPr="009A6B57">
        <w:t xml:space="preserve">article 37 § 1 </w:t>
      </w:r>
      <w:r w:rsidRPr="009A6B57">
        <w:rPr>
          <w:i/>
        </w:rPr>
        <w:t>in fine</w:t>
      </w:r>
      <w:r w:rsidRPr="009A6B57">
        <w:t>.</w:t>
      </w:r>
    </w:p>
    <w:p w14:paraId="7BBABFA7" w14:textId="4004AAB9" w:rsidR="001E6744" w:rsidRPr="009A6B57" w:rsidRDefault="001E6744" w:rsidP="009A6B57">
      <w:pPr>
        <w:pStyle w:val="JuPara"/>
      </w:pPr>
      <w:r w:rsidRPr="009A6B57">
        <w:t>Il y a donc lieu de rayer l</w:t>
      </w:r>
      <w:r w:rsidR="009A6B57" w:rsidRPr="009A6B57">
        <w:t>’</w:t>
      </w:r>
      <w:r w:rsidRPr="009A6B57">
        <w:t>affaire du rôle.</w:t>
      </w:r>
    </w:p>
    <w:p w14:paraId="4657660D" w14:textId="0ABDD40B" w:rsidR="001E6744" w:rsidRPr="009A6B57" w:rsidRDefault="001E6744" w:rsidP="009A6B57">
      <w:pPr>
        <w:pStyle w:val="JuParaLast"/>
      </w:pPr>
      <w:r w:rsidRPr="009A6B57">
        <w:t>Par ces motifs, la Cour, à l</w:t>
      </w:r>
      <w:r w:rsidR="009A6B57" w:rsidRPr="009A6B57">
        <w:t>’</w:t>
      </w:r>
      <w:r w:rsidRPr="009A6B57">
        <w:t>unanimité,</w:t>
      </w:r>
    </w:p>
    <w:p w14:paraId="21F2C848" w14:textId="77777777" w:rsidR="001E6744" w:rsidRPr="009A6B57" w:rsidRDefault="001E6744" w:rsidP="009A6B57">
      <w:pPr>
        <w:pStyle w:val="DecList"/>
      </w:pPr>
      <w:r w:rsidRPr="009A6B57">
        <w:rPr>
          <w:i/>
        </w:rPr>
        <w:t>Décide</w:t>
      </w:r>
      <w:r w:rsidRPr="009A6B57">
        <w:t xml:space="preserve"> de rayer la requête du rôle.</w:t>
      </w:r>
    </w:p>
    <w:p w14:paraId="0F318A9E" w14:textId="1FC6C6B9" w:rsidR="005E50CB" w:rsidRPr="009A6B57" w:rsidRDefault="009C2679" w:rsidP="009A6B57">
      <w:pPr>
        <w:pStyle w:val="JuParaLast"/>
      </w:pPr>
      <w:r w:rsidRPr="009A6B57">
        <w:t xml:space="preserve">Fait en français puis communiqué par écrit le </w:t>
      </w:r>
      <w:r w:rsidR="001E6744" w:rsidRPr="009A6B57">
        <w:t>21 juillet 2022</w:t>
      </w:r>
      <w:r w:rsidRPr="009A6B57">
        <w:t>.</w:t>
      </w:r>
    </w:p>
    <w:p w14:paraId="7A9F8F02" w14:textId="05421A39" w:rsidR="00117CEC" w:rsidRPr="009A6B57" w:rsidRDefault="009C6FBA" w:rsidP="009A6B57">
      <w:pPr>
        <w:pStyle w:val="ECHRPlaceholder"/>
      </w:pPr>
      <w:r w:rsidRPr="009A6B57">
        <w:tab/>
      </w:r>
    </w:p>
    <w:p w14:paraId="213E6925" w14:textId="3CD94506" w:rsidR="00A4125D" w:rsidRPr="009A6B57" w:rsidRDefault="00A1245F" w:rsidP="009A6B57">
      <w:pPr>
        <w:pStyle w:val="JuSigned"/>
        <w:tabs>
          <w:tab w:val="left" w:pos="0"/>
        </w:tabs>
        <w:ind w:left="142" w:hanging="142"/>
      </w:pPr>
      <w:r w:rsidRPr="009A6B57">
        <w:t xml:space="preserve"> </w:t>
      </w:r>
      <w:r w:rsidR="001E6744" w:rsidRPr="009A6B57">
        <w:t xml:space="preserve">Viktoriya </w:t>
      </w:r>
      <w:proofErr w:type="spellStart"/>
      <w:r w:rsidR="001E6744" w:rsidRPr="009A6B57">
        <w:t>Maradudina</w:t>
      </w:r>
      <w:proofErr w:type="spellEnd"/>
      <w:r w:rsidR="009C2679" w:rsidRPr="009A6B57">
        <w:tab/>
      </w:r>
      <w:r w:rsidR="001E6744" w:rsidRPr="009A6B57">
        <w:t xml:space="preserve">Alena </w:t>
      </w:r>
      <w:proofErr w:type="spellStart"/>
      <w:r w:rsidR="001E6744" w:rsidRPr="009A6B57">
        <w:t>Poláčková</w:t>
      </w:r>
      <w:proofErr w:type="spellEnd"/>
      <w:r w:rsidR="009C2679" w:rsidRPr="009A6B57">
        <w:br/>
      </w:r>
      <w:r w:rsidR="001E6744" w:rsidRPr="009A6B57">
        <w:rPr>
          <w:rFonts w:eastAsia="PMingLiU"/>
        </w:rPr>
        <w:t>Greffière adjoint</w:t>
      </w:r>
      <w:r w:rsidRPr="009A6B57">
        <w:rPr>
          <w:rFonts w:eastAsia="PMingLiU"/>
        </w:rPr>
        <w:t xml:space="preserve">e </w:t>
      </w:r>
      <w:proofErr w:type="spellStart"/>
      <w:r w:rsidRPr="009A6B57">
        <w:rPr>
          <w:rFonts w:eastAsia="PMingLiU"/>
        </w:rPr>
        <w:t>f.f</w:t>
      </w:r>
      <w:proofErr w:type="spellEnd"/>
      <w:r w:rsidRPr="009A6B57">
        <w:rPr>
          <w:rFonts w:eastAsia="PMingLiU"/>
        </w:rPr>
        <w:t>.</w:t>
      </w:r>
      <w:r w:rsidR="009C2679" w:rsidRPr="009A6B57">
        <w:tab/>
      </w:r>
      <w:r w:rsidR="001E6744" w:rsidRPr="009A6B57">
        <w:t>Présidente</w:t>
      </w:r>
      <w:bookmarkStart w:id="1" w:name="TableStart"/>
      <w:bookmarkStart w:id="2" w:name="WECLListStart"/>
      <w:bookmarkEnd w:id="1"/>
      <w:bookmarkEnd w:id="2"/>
    </w:p>
    <w:sectPr w:rsidR="00A4125D" w:rsidRPr="009A6B57" w:rsidSect="00BD3CA9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endnotePr>
        <w:numFmt w:val="decimal"/>
      </w:endnotePr>
      <w:pgSz w:w="11906" w:h="16838" w:code="9"/>
      <w:pgMar w:top="2274" w:right="2274" w:bottom="2274" w:left="2274" w:header="1701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914B" w14:textId="77777777" w:rsidR="00DC2794" w:rsidRPr="001E6744" w:rsidRDefault="00DC2794">
      <w:r w:rsidRPr="001E6744">
        <w:separator/>
      </w:r>
    </w:p>
  </w:endnote>
  <w:endnote w:type="continuationSeparator" w:id="0">
    <w:p w14:paraId="30CA7918" w14:textId="77777777" w:rsidR="00DC2794" w:rsidRPr="001E6744" w:rsidRDefault="00DC2794">
      <w:r w:rsidRPr="001E67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B778" w14:textId="20CAEF75" w:rsidR="00BD3CA9" w:rsidRPr="00BD3CA9" w:rsidRDefault="00BD3CA9" w:rsidP="00BD3CA9">
    <w:pPr>
      <w:pStyle w:val="Pidipagina"/>
      <w:jc w:val="center"/>
      <w:rPr>
        <w:rFonts w:cstheme="minorHAnsi"/>
        <w:sz w:val="18"/>
        <w:szCs w:val="18"/>
        <w:lang w:val="en-GB"/>
      </w:rPr>
    </w:pPr>
    <w:r w:rsidRPr="00BD3CA9">
      <w:rPr>
        <w:rFonts w:cstheme="minorHAnsi"/>
        <w:sz w:val="18"/>
        <w:szCs w:val="18"/>
        <w:lang w:val="en-GB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489C" w14:textId="3AF76668" w:rsidR="00BD3CA9" w:rsidRDefault="00BD3CA9" w:rsidP="00BD3CA9">
    <w:pPr>
      <w:pStyle w:val="Pidipagina"/>
      <w:jc w:val="center"/>
    </w:pPr>
    <w:r>
      <w:rPr>
        <w:noProof/>
        <w:lang w:val="en-US" w:eastAsia="ja-JP"/>
      </w:rPr>
      <w:drawing>
        <wp:inline distT="0" distB="0" distL="0" distR="0" wp14:anchorId="40208689" wp14:editId="3AD61F0B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C510" w14:textId="77777777" w:rsidR="00DC2794" w:rsidRPr="001E6744" w:rsidRDefault="00DC2794">
      <w:r w:rsidRPr="001E6744">
        <w:separator/>
      </w:r>
    </w:p>
  </w:footnote>
  <w:footnote w:type="continuationSeparator" w:id="0">
    <w:p w14:paraId="4AA75EEA" w14:textId="77777777" w:rsidR="00DC2794" w:rsidRPr="001E6744" w:rsidRDefault="00DC2794">
      <w:r w:rsidRPr="001E674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6B89" w14:textId="6E3A8B47" w:rsidR="002057E1" w:rsidRPr="001E6744" w:rsidRDefault="002057E1" w:rsidP="002057E1">
    <w:pPr>
      <w:pStyle w:val="JuHeader"/>
      <w:rPr>
        <w:lang w:val="en-GB"/>
      </w:rPr>
    </w:pPr>
    <w:r w:rsidRPr="001E6744">
      <w:rPr>
        <w:lang w:val="en-GB"/>
      </w:rPr>
      <w:t xml:space="preserve">DÉCISION </w:t>
    </w:r>
    <w:r w:rsidR="001E6744">
      <w:rPr>
        <w:lang w:val="en-GB"/>
      </w:rPr>
      <w:t>MICCOLI c. ITALIE</w:t>
    </w:r>
  </w:p>
  <w:p w14:paraId="353C22A3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FF19" w14:textId="093C29BE" w:rsidR="002057E1" w:rsidRPr="001E6744" w:rsidRDefault="002057E1" w:rsidP="00BA5704">
    <w:pPr>
      <w:pStyle w:val="JuHeader"/>
      <w:rPr>
        <w:lang w:val="en-GB"/>
      </w:rPr>
    </w:pPr>
    <w:r w:rsidRPr="001E6744">
      <w:rPr>
        <w:lang w:val="en-GB"/>
      </w:rPr>
      <w:t xml:space="preserve">DÉCISION </w:t>
    </w:r>
    <w:r w:rsidR="001E6744">
      <w:rPr>
        <w:lang w:val="en-GB"/>
      </w:rPr>
      <w:t>MICCOLI c. ITALIE</w:t>
    </w:r>
  </w:p>
  <w:p w14:paraId="5C2B0D8A" w14:textId="77777777" w:rsidR="002057E1" w:rsidRPr="001E6744" w:rsidRDefault="002057E1" w:rsidP="002147F5">
    <w:pPr>
      <w:pStyle w:val="Ju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3368" w14:textId="7511BCE8" w:rsidR="001E6744" w:rsidRPr="00A45145" w:rsidRDefault="001E674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23E43C0" wp14:editId="19B9E9EE">
          <wp:extent cx="2962275" cy="1219200"/>
          <wp:effectExtent l="0" t="0" r="9525" b="0"/>
          <wp:docPr id="3" name="Picture 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3D9D8" w14:textId="0C500663" w:rsidR="00E65165" w:rsidRPr="00263B0A" w:rsidRDefault="00DC2794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1E6744"/>
    <w:rsid w:val="000278A7"/>
    <w:rsid w:val="000379FE"/>
    <w:rsid w:val="000A1FA0"/>
    <w:rsid w:val="000B5D51"/>
    <w:rsid w:val="000D4E21"/>
    <w:rsid w:val="00117CEC"/>
    <w:rsid w:val="001C452A"/>
    <w:rsid w:val="001E6744"/>
    <w:rsid w:val="002057E1"/>
    <w:rsid w:val="00295027"/>
    <w:rsid w:val="002E4C53"/>
    <w:rsid w:val="00301EF7"/>
    <w:rsid w:val="0031075B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C3865"/>
    <w:rsid w:val="005E2326"/>
    <w:rsid w:val="005F6E86"/>
    <w:rsid w:val="006752E5"/>
    <w:rsid w:val="00682864"/>
    <w:rsid w:val="006C5241"/>
    <w:rsid w:val="006E22AB"/>
    <w:rsid w:val="00732408"/>
    <w:rsid w:val="007339CD"/>
    <w:rsid w:val="007A56BD"/>
    <w:rsid w:val="008A0BD2"/>
    <w:rsid w:val="009A6B57"/>
    <w:rsid w:val="009B2699"/>
    <w:rsid w:val="009C2679"/>
    <w:rsid w:val="009C6FBA"/>
    <w:rsid w:val="009E764F"/>
    <w:rsid w:val="009E7AE3"/>
    <w:rsid w:val="00A123B7"/>
    <w:rsid w:val="00A1245F"/>
    <w:rsid w:val="00A353D0"/>
    <w:rsid w:val="00B00467"/>
    <w:rsid w:val="00B75CF4"/>
    <w:rsid w:val="00B76738"/>
    <w:rsid w:val="00BA5704"/>
    <w:rsid w:val="00BD3B4E"/>
    <w:rsid w:val="00BD3CA9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DC2794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1B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1E6744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F403-54B3-42B9-AC20-83C32F7FB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E592E-92AF-43C5-92C5-9F6845585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7998B-D451-4108-9A20-868323C1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631BF-31EF-4729-9F72-F49094F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2022-09-05T09:29:00Z</dcterms:created>
  <dcterms:modified xsi:type="dcterms:W3CDTF">2022-09-05T09:29:00Z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1072/19</vt:lpwstr>
  </property>
  <property fmtid="{D5CDD505-2E9C-101B-9397-08002B2CF9AE}" pid="4" name="CASEID">
    <vt:lpwstr>1419113</vt:lpwstr>
  </property>
  <property fmtid="{D5CDD505-2E9C-101B-9397-08002B2CF9AE}" pid="5" name="ContentTypeId">
    <vt:lpwstr>0x010100558EB02BDB9E204AB350EDD385B68E10</vt:lpwstr>
  </property>
</Properties>
</file>